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BD5AC" w14:textId="77777777" w:rsidR="003C3CE4" w:rsidRPr="00E22B87" w:rsidRDefault="003C3CE4" w:rsidP="003C3CE4">
      <w:pPr>
        <w:spacing w:line="360" w:lineRule="auto"/>
        <w:rPr>
          <w:rFonts w:ascii="Arial" w:hAnsi="Arial" w:cs="Arial"/>
          <w:b/>
          <w:bCs/>
          <w:sz w:val="32"/>
          <w:szCs w:val="36"/>
        </w:rPr>
      </w:pPr>
      <w:r w:rsidRPr="00E22B87">
        <w:rPr>
          <w:rFonts w:ascii="Arial" w:hAnsi="Arial" w:cs="Arial" w:hint="eastAsia"/>
          <w:b/>
          <w:bCs/>
          <w:sz w:val="32"/>
          <w:szCs w:val="36"/>
        </w:rPr>
        <w:t>Supplement</w:t>
      </w:r>
      <w:r w:rsidRPr="00E22B87">
        <w:rPr>
          <w:rFonts w:ascii="Arial" w:hAnsi="Arial" w:cs="Arial"/>
          <w:b/>
          <w:bCs/>
          <w:sz w:val="32"/>
          <w:szCs w:val="36"/>
        </w:rPr>
        <w:t xml:space="preserve"> F</w:t>
      </w:r>
      <w:r w:rsidRPr="00E22B87">
        <w:rPr>
          <w:rFonts w:ascii="Arial" w:hAnsi="Arial" w:cs="Arial" w:hint="eastAsia"/>
          <w:b/>
          <w:bCs/>
          <w:sz w:val="32"/>
          <w:szCs w:val="36"/>
        </w:rPr>
        <w:t>igures</w:t>
      </w:r>
      <w:r>
        <w:rPr>
          <w:rFonts w:ascii="Arial" w:hAnsi="Arial" w:cs="Arial"/>
          <w:b/>
          <w:bCs/>
          <w:sz w:val="32"/>
          <w:szCs w:val="36"/>
        </w:rPr>
        <w:t xml:space="preserve"> </w:t>
      </w:r>
      <w:r>
        <w:rPr>
          <w:rFonts w:ascii="Arial" w:hAnsi="Arial" w:cs="Arial" w:hint="eastAsia"/>
          <w:b/>
          <w:bCs/>
          <w:sz w:val="32"/>
          <w:szCs w:val="36"/>
        </w:rPr>
        <w:t>legends</w:t>
      </w:r>
    </w:p>
    <w:p w14:paraId="56E0F688" w14:textId="77777777" w:rsidR="003C3CE4" w:rsidRDefault="003C3CE4" w:rsidP="003C3CE4">
      <w:pPr>
        <w:spacing w:line="360" w:lineRule="auto"/>
        <w:rPr>
          <w:rFonts w:ascii="Arial" w:hAnsi="Arial" w:cs="Arial"/>
          <w:b/>
          <w:bCs/>
          <w:sz w:val="24"/>
          <w:szCs w:val="28"/>
        </w:rPr>
      </w:pPr>
      <w:r w:rsidRPr="00E22B87">
        <w:rPr>
          <w:rFonts w:ascii="Arial" w:hAnsi="Arial" w:cs="Arial" w:hint="eastAsia"/>
          <w:b/>
          <w:bCs/>
          <w:sz w:val="24"/>
          <w:szCs w:val="28"/>
        </w:rPr>
        <w:t>S</w:t>
      </w:r>
      <w:r w:rsidRPr="00E22B87">
        <w:rPr>
          <w:rFonts w:ascii="Arial" w:hAnsi="Arial" w:cs="Arial"/>
          <w:b/>
          <w:bCs/>
          <w:sz w:val="24"/>
          <w:szCs w:val="28"/>
        </w:rPr>
        <w:t>-</w:t>
      </w:r>
      <w:r w:rsidRPr="00E22B87">
        <w:rPr>
          <w:rFonts w:ascii="Arial" w:hAnsi="Arial" w:cs="Arial" w:hint="eastAsia"/>
          <w:b/>
          <w:bCs/>
          <w:sz w:val="24"/>
          <w:szCs w:val="28"/>
        </w:rPr>
        <w:t>figure</w:t>
      </w:r>
      <w:r w:rsidRPr="00E22B87">
        <w:rPr>
          <w:rFonts w:ascii="Arial" w:hAnsi="Arial" w:cs="Arial"/>
          <w:b/>
          <w:bCs/>
          <w:sz w:val="24"/>
          <w:szCs w:val="28"/>
        </w:rPr>
        <w:t>1</w:t>
      </w:r>
    </w:p>
    <w:p w14:paraId="0F5EB173" w14:textId="77777777" w:rsidR="003C3CE4" w:rsidRPr="000B1ACF" w:rsidRDefault="003C3CE4" w:rsidP="003C3CE4">
      <w:pPr>
        <w:spacing w:line="360" w:lineRule="auto"/>
        <w:ind w:firstLineChars="100" w:firstLine="240"/>
        <w:rPr>
          <w:rFonts w:hint="eastAsia"/>
          <w:color w:val="FF0000"/>
          <w:sz w:val="24"/>
          <w:szCs w:val="28"/>
        </w:rPr>
      </w:pPr>
      <w:r w:rsidRPr="000B1ACF">
        <w:rPr>
          <w:rStyle w:val="af2"/>
          <w:rFonts w:ascii="Arial" w:hAnsi="Arial" w:cs="Arial"/>
          <w:sz w:val="24"/>
        </w:rPr>
        <w:t xml:space="preserve">(A–B) Elimination of batch effects in </w:t>
      </w:r>
      <w:bookmarkStart w:id="0" w:name="_Hlk179445015"/>
      <w:r w:rsidRPr="000B1ACF">
        <w:rPr>
          <w:rStyle w:val="af2"/>
          <w:rFonts w:ascii="Arial" w:hAnsi="Arial" w:cs="Arial"/>
          <w:sz w:val="24"/>
        </w:rPr>
        <w:t>GSE89632 and GSE6306 datasets</w:t>
      </w:r>
      <w:bookmarkEnd w:id="0"/>
      <w:r w:rsidRPr="000B1ACF">
        <w:rPr>
          <w:rStyle w:val="af2"/>
          <w:rFonts w:ascii="Arial" w:hAnsi="Arial" w:cs="Arial"/>
          <w:sz w:val="24"/>
        </w:rPr>
        <w:t>.</w:t>
      </w:r>
      <w:r w:rsidRPr="000B1ACF">
        <w:rPr>
          <w:b/>
          <w:bCs/>
          <w:sz w:val="24"/>
          <w:szCs w:val="28"/>
        </w:rPr>
        <w:t xml:space="preserve"> </w:t>
      </w:r>
      <w:r w:rsidRPr="00737501">
        <w:rPr>
          <w:rFonts w:ascii="Arial" w:hAnsi="Arial" w:cs="Arial"/>
          <w:sz w:val="24"/>
          <w:szCs w:val="28"/>
        </w:rPr>
        <w:t>(</w:t>
      </w:r>
      <w:r>
        <w:rPr>
          <w:rFonts w:ascii="Arial" w:hAnsi="Arial" w:cs="Arial"/>
          <w:sz w:val="24"/>
          <w:szCs w:val="28"/>
        </w:rPr>
        <w:t>C</w:t>
      </w:r>
      <w:r w:rsidRPr="00737501">
        <w:rPr>
          <w:rFonts w:ascii="Arial" w:hAnsi="Arial" w:cs="Arial"/>
          <w:sz w:val="24"/>
          <w:szCs w:val="28"/>
        </w:rPr>
        <w:t>) Heatmaps of DEGs in GSE89632 and GSE6306 datasets, comparing expression patterns between the control group and treatment conditions.</w:t>
      </w:r>
      <w:r w:rsidRPr="000B1ACF">
        <w:rPr>
          <w:rFonts w:ascii="Arial" w:hAnsi="Arial" w:cs="Arial"/>
          <w:sz w:val="24"/>
          <w:szCs w:val="28"/>
        </w:rPr>
        <w:t xml:space="preserve"> </w:t>
      </w:r>
      <w:r w:rsidRPr="000B1ACF">
        <w:rPr>
          <w:rFonts w:ascii="Arial" w:hAnsi="Arial" w:cs="Arial"/>
          <w:color w:val="FF0000"/>
          <w:sz w:val="24"/>
          <w:szCs w:val="28"/>
        </w:rPr>
        <w:t xml:space="preserve">(D) Volcano plots displaying differentially expressed genes (DEGs) in GSE89632 and GSE6306 datasets, with |log2 fold change (FC)| &gt; 1 and </w:t>
      </w:r>
      <w:r w:rsidRPr="000B1ACF">
        <w:rPr>
          <w:rStyle w:val="af3"/>
          <w:rFonts w:ascii="Arial" w:hAnsi="Arial" w:cs="Arial"/>
          <w:color w:val="FF0000"/>
          <w:szCs w:val="28"/>
        </w:rPr>
        <w:t>p</w:t>
      </w:r>
      <w:r w:rsidRPr="000B1ACF">
        <w:rPr>
          <w:rFonts w:ascii="Arial" w:hAnsi="Arial" w:cs="Arial"/>
          <w:color w:val="FF0000"/>
          <w:sz w:val="24"/>
          <w:szCs w:val="28"/>
        </w:rPr>
        <w:t xml:space="preserve"> &lt; 0.05 as selection criteria.</w:t>
      </w:r>
    </w:p>
    <w:p w14:paraId="3ECA4DC9" w14:textId="77777777" w:rsidR="003C3CE4" w:rsidRPr="009F66B1" w:rsidRDefault="003C3CE4" w:rsidP="003C3CE4">
      <w:pPr>
        <w:spacing w:line="360" w:lineRule="auto"/>
        <w:rPr>
          <w:rFonts w:ascii="Arial" w:hAnsi="Arial" w:cs="Arial"/>
          <w:b/>
          <w:bCs/>
          <w:sz w:val="24"/>
          <w:szCs w:val="28"/>
        </w:rPr>
      </w:pPr>
    </w:p>
    <w:p w14:paraId="7216FD05" w14:textId="77777777" w:rsidR="003C3CE4" w:rsidRDefault="003C3CE4" w:rsidP="003C3CE4">
      <w:pPr>
        <w:spacing w:line="360" w:lineRule="auto"/>
        <w:rPr>
          <w:rFonts w:ascii="Arial" w:hAnsi="Arial" w:cs="Arial"/>
          <w:b/>
          <w:bCs/>
          <w:sz w:val="24"/>
          <w:szCs w:val="28"/>
        </w:rPr>
      </w:pPr>
      <w:r w:rsidRPr="00BE5349">
        <w:rPr>
          <w:rFonts w:ascii="Arial" w:hAnsi="Arial" w:cs="Arial" w:hint="eastAsia"/>
          <w:b/>
          <w:bCs/>
          <w:sz w:val="24"/>
          <w:szCs w:val="28"/>
        </w:rPr>
        <w:t>S</w:t>
      </w:r>
      <w:r w:rsidRPr="00BE5349">
        <w:rPr>
          <w:rFonts w:ascii="Arial" w:hAnsi="Arial" w:cs="Arial"/>
          <w:b/>
          <w:bCs/>
          <w:sz w:val="24"/>
          <w:szCs w:val="28"/>
        </w:rPr>
        <w:t>-</w:t>
      </w:r>
      <w:r w:rsidRPr="00BE5349">
        <w:rPr>
          <w:rFonts w:ascii="Arial" w:hAnsi="Arial" w:cs="Arial" w:hint="eastAsia"/>
          <w:b/>
          <w:bCs/>
          <w:sz w:val="24"/>
          <w:szCs w:val="28"/>
        </w:rPr>
        <w:t>figure</w:t>
      </w:r>
      <w:r w:rsidRPr="00BE5349">
        <w:rPr>
          <w:rFonts w:ascii="Arial" w:hAnsi="Arial" w:cs="Arial"/>
          <w:b/>
          <w:bCs/>
          <w:sz w:val="24"/>
          <w:szCs w:val="28"/>
        </w:rPr>
        <w:t>2</w:t>
      </w:r>
    </w:p>
    <w:p w14:paraId="76F5A352" w14:textId="77777777" w:rsidR="003C3CE4" w:rsidRPr="00361D65" w:rsidRDefault="003C3CE4" w:rsidP="003C3CE4">
      <w:pPr>
        <w:spacing w:line="360" w:lineRule="auto"/>
        <w:rPr>
          <w:rFonts w:ascii="Arial" w:hAnsi="Arial" w:cs="Arial"/>
          <w:b/>
          <w:bCs/>
          <w:sz w:val="24"/>
          <w:szCs w:val="28"/>
        </w:rPr>
      </w:pPr>
      <w:r w:rsidRPr="00E22B87">
        <w:rPr>
          <w:rFonts w:ascii="Arial" w:hAnsi="Arial" w:cs="Arial"/>
          <w:sz w:val="24"/>
          <w:szCs w:val="24"/>
        </w:rPr>
        <w:t>(A) Nomogram constructed for predicting the risk of NAFLD clusters based on SLC16A1, ENO3, and LEPR. (B, C) Calibration curve (B) and decision curve analysis (DCA) (C) used to evaluate the predictive accuracy and clinical utility of the nomogram.</w:t>
      </w:r>
    </w:p>
    <w:p w14:paraId="48878064" w14:textId="77777777" w:rsidR="003C3CE4" w:rsidRDefault="003C3CE4" w:rsidP="003C3CE4">
      <w:pPr>
        <w:spacing w:line="360" w:lineRule="auto"/>
        <w:rPr>
          <w:rFonts w:ascii="Arial" w:hAnsi="Arial" w:cs="Arial"/>
          <w:b/>
          <w:bCs/>
          <w:noProof/>
          <w:sz w:val="24"/>
          <w:szCs w:val="28"/>
        </w:rPr>
      </w:pPr>
    </w:p>
    <w:p w14:paraId="1155630F" w14:textId="77777777" w:rsidR="003C3CE4" w:rsidRPr="00E22B87" w:rsidRDefault="003C3CE4" w:rsidP="003C3CE4">
      <w:pPr>
        <w:spacing w:line="360" w:lineRule="auto"/>
        <w:rPr>
          <w:rFonts w:ascii="Arial" w:hAnsi="Arial" w:cs="Arial"/>
          <w:b/>
          <w:bCs/>
          <w:sz w:val="24"/>
          <w:szCs w:val="24"/>
        </w:rPr>
      </w:pPr>
      <w:r>
        <w:rPr>
          <w:rFonts w:ascii="Arial" w:hAnsi="Arial" w:cs="Arial"/>
          <w:b/>
          <w:bCs/>
          <w:sz w:val="24"/>
          <w:szCs w:val="24"/>
        </w:rPr>
        <w:t>S-f</w:t>
      </w:r>
      <w:r w:rsidRPr="00E22B87">
        <w:rPr>
          <w:rFonts w:ascii="Arial" w:hAnsi="Arial" w:cs="Arial"/>
          <w:b/>
          <w:bCs/>
          <w:sz w:val="24"/>
          <w:szCs w:val="24"/>
        </w:rPr>
        <w:t>igure</w:t>
      </w:r>
      <w:r>
        <w:rPr>
          <w:rFonts w:ascii="Arial" w:hAnsi="Arial" w:cs="Arial"/>
          <w:b/>
          <w:bCs/>
          <w:sz w:val="24"/>
          <w:szCs w:val="24"/>
        </w:rPr>
        <w:t>3</w:t>
      </w:r>
    </w:p>
    <w:p w14:paraId="13C5EB0D" w14:textId="77777777" w:rsidR="003C3CE4" w:rsidRPr="00E22B87" w:rsidRDefault="003C3CE4" w:rsidP="003C3CE4">
      <w:pPr>
        <w:spacing w:line="360" w:lineRule="auto"/>
        <w:ind w:firstLineChars="100" w:firstLine="240"/>
        <w:rPr>
          <w:rFonts w:ascii="Arial" w:hAnsi="Arial" w:cs="Arial"/>
          <w:sz w:val="24"/>
          <w:szCs w:val="24"/>
        </w:rPr>
      </w:pPr>
      <w:r w:rsidRPr="00483C2E">
        <w:rPr>
          <w:rFonts w:ascii="Arial" w:hAnsi="Arial" w:cs="Arial"/>
          <w:b/>
          <w:bCs/>
          <w:sz w:val="24"/>
          <w:szCs w:val="24"/>
        </w:rPr>
        <w:t xml:space="preserve">Co-expression network of differentially expressed genes between the two </w:t>
      </w:r>
      <w:proofErr w:type="spellStart"/>
      <w:r w:rsidRPr="00483C2E">
        <w:rPr>
          <w:rFonts w:ascii="Arial" w:hAnsi="Arial" w:cs="Arial"/>
          <w:b/>
          <w:bCs/>
          <w:sz w:val="24"/>
          <w:szCs w:val="24"/>
        </w:rPr>
        <w:t>anoikis</w:t>
      </w:r>
      <w:proofErr w:type="spellEnd"/>
      <w:r w:rsidRPr="00483C2E">
        <w:rPr>
          <w:rFonts w:ascii="Arial" w:hAnsi="Arial" w:cs="Arial"/>
          <w:b/>
          <w:bCs/>
          <w:sz w:val="24"/>
          <w:szCs w:val="24"/>
        </w:rPr>
        <w:t xml:space="preserve"> clusters.</w:t>
      </w:r>
      <w:r w:rsidRPr="00E22B87">
        <w:rPr>
          <w:rFonts w:ascii="Arial" w:hAnsi="Arial" w:cs="Arial"/>
          <w:sz w:val="24"/>
          <w:szCs w:val="24"/>
        </w:rPr>
        <w:t xml:space="preserve"> (A) Selection of the optimal soft-thresholding power for network construction. (B) Dendrogram of clustered genes, with distinct co-expression modules shown in different colors. (C) Clustering of module eigengenes. (D) Heatmap representing the correlations among six identified modules. (E) Correlation analysis between module eigengenes and clinical traits, with rows corresponding to modules and columns to clinical statuses. (F) Scatter plot illustrating the relationship between module membership in the yellow module and gene significance for Cluster 2.</w:t>
      </w:r>
    </w:p>
    <w:p w14:paraId="2AD718D5" w14:textId="77777777" w:rsidR="003C3CE4" w:rsidRPr="00E22B87" w:rsidRDefault="003C3CE4" w:rsidP="003C3CE4">
      <w:pPr>
        <w:spacing w:line="360" w:lineRule="auto"/>
        <w:rPr>
          <w:rFonts w:ascii="Arial" w:hAnsi="Arial" w:cs="Arial"/>
          <w:b/>
          <w:bCs/>
          <w:sz w:val="24"/>
          <w:szCs w:val="24"/>
        </w:rPr>
      </w:pPr>
      <w:r>
        <w:rPr>
          <w:rFonts w:ascii="Arial" w:hAnsi="Arial" w:cs="Arial"/>
          <w:b/>
          <w:bCs/>
          <w:sz w:val="24"/>
          <w:szCs w:val="24"/>
        </w:rPr>
        <w:t>S-</w:t>
      </w:r>
      <w:r w:rsidRPr="00E22B87">
        <w:rPr>
          <w:rFonts w:ascii="Arial" w:hAnsi="Arial" w:cs="Arial"/>
          <w:b/>
          <w:bCs/>
          <w:sz w:val="24"/>
          <w:szCs w:val="24"/>
        </w:rPr>
        <w:t>Figure</w:t>
      </w:r>
      <w:r>
        <w:rPr>
          <w:rFonts w:ascii="Arial" w:hAnsi="Arial" w:cs="Arial"/>
          <w:b/>
          <w:bCs/>
          <w:sz w:val="24"/>
          <w:szCs w:val="24"/>
        </w:rPr>
        <w:t>4</w:t>
      </w:r>
    </w:p>
    <w:p w14:paraId="18E06552" w14:textId="77777777" w:rsidR="003C3CE4" w:rsidRPr="00E22B87" w:rsidRDefault="003C3CE4" w:rsidP="003C3CE4">
      <w:pPr>
        <w:spacing w:line="360" w:lineRule="auto"/>
        <w:ind w:firstLineChars="100" w:firstLine="240"/>
        <w:rPr>
          <w:rFonts w:ascii="Arial" w:hAnsi="Arial" w:cs="Arial"/>
          <w:sz w:val="24"/>
          <w:szCs w:val="24"/>
        </w:rPr>
      </w:pPr>
      <w:r w:rsidRPr="00E22B87">
        <w:rPr>
          <w:rStyle w:val="af2"/>
          <w:rFonts w:ascii="Arial" w:hAnsi="Arial" w:cs="Arial"/>
          <w:sz w:val="24"/>
          <w:szCs w:val="24"/>
        </w:rPr>
        <w:t xml:space="preserve">Identification of cluster-specific DEGs and biological characteristics between </w:t>
      </w:r>
      <w:proofErr w:type="spellStart"/>
      <w:r w:rsidRPr="00E22B87">
        <w:rPr>
          <w:rStyle w:val="af2"/>
          <w:rFonts w:ascii="Arial" w:hAnsi="Arial" w:cs="Arial"/>
          <w:sz w:val="24"/>
          <w:szCs w:val="24"/>
        </w:rPr>
        <w:t>anoikis</w:t>
      </w:r>
      <w:proofErr w:type="spellEnd"/>
      <w:r w:rsidRPr="00E22B87">
        <w:rPr>
          <w:rStyle w:val="af2"/>
          <w:rFonts w:ascii="Arial" w:hAnsi="Arial" w:cs="Arial"/>
          <w:sz w:val="24"/>
          <w:szCs w:val="24"/>
        </w:rPr>
        <w:t xml:space="preserve"> clusters.</w:t>
      </w:r>
      <w:r w:rsidRPr="00E22B87">
        <w:rPr>
          <w:rFonts w:ascii="Arial" w:hAnsi="Arial" w:cs="Arial"/>
          <w:sz w:val="24"/>
          <w:szCs w:val="24"/>
        </w:rPr>
        <w:t xml:space="preserve"> (A) Overlap between module-associated genes from a subset of </w:t>
      </w:r>
      <w:proofErr w:type="spellStart"/>
      <w:r w:rsidRPr="00E22B87">
        <w:rPr>
          <w:rFonts w:ascii="Arial" w:hAnsi="Arial" w:cs="Arial"/>
          <w:sz w:val="24"/>
          <w:szCs w:val="24"/>
        </w:rPr>
        <w:t>anoikis</w:t>
      </w:r>
      <w:proofErr w:type="spellEnd"/>
      <w:r w:rsidRPr="00E22B87">
        <w:rPr>
          <w:rFonts w:ascii="Arial" w:hAnsi="Arial" w:cs="Arial"/>
          <w:sz w:val="24"/>
          <w:szCs w:val="24"/>
        </w:rPr>
        <w:t xml:space="preserve">-related genes and those from NAFLD and non-NAFLD </w:t>
      </w:r>
      <w:r w:rsidRPr="00E22B87">
        <w:rPr>
          <w:rFonts w:ascii="Arial" w:hAnsi="Arial" w:cs="Arial"/>
          <w:sz w:val="24"/>
          <w:szCs w:val="24"/>
        </w:rPr>
        <w:lastRenderedPageBreak/>
        <w:t>individuals. (B) Comparative analysis of hallmark pathway activities between Cluster 1 and Cluster 2, ranked by t-values using the GSVA method. (C) Differential analysis of biological functions between Cluster 1 and Cluster 2, ranked by t-values from the GSVA method.</w:t>
      </w:r>
    </w:p>
    <w:p w14:paraId="739BA845" w14:textId="77777777" w:rsidR="003C3CE4" w:rsidRPr="00E22B87" w:rsidRDefault="003C3CE4" w:rsidP="003C3CE4">
      <w:pPr>
        <w:spacing w:line="360" w:lineRule="auto"/>
        <w:rPr>
          <w:rFonts w:ascii="Arial" w:hAnsi="Arial" w:cs="Arial"/>
          <w:b/>
          <w:bCs/>
          <w:sz w:val="24"/>
          <w:szCs w:val="24"/>
        </w:rPr>
      </w:pPr>
      <w:r>
        <w:rPr>
          <w:rFonts w:ascii="Arial" w:hAnsi="Arial" w:cs="Arial"/>
          <w:b/>
          <w:bCs/>
          <w:sz w:val="24"/>
          <w:szCs w:val="24"/>
        </w:rPr>
        <w:t>S-</w:t>
      </w:r>
      <w:r w:rsidRPr="00E22B87">
        <w:rPr>
          <w:rFonts w:ascii="Arial" w:hAnsi="Arial" w:cs="Arial"/>
          <w:b/>
          <w:bCs/>
          <w:sz w:val="24"/>
          <w:szCs w:val="24"/>
        </w:rPr>
        <w:t>Figue</w:t>
      </w:r>
      <w:r>
        <w:rPr>
          <w:rFonts w:ascii="Arial" w:hAnsi="Arial" w:cs="Arial"/>
          <w:b/>
          <w:bCs/>
          <w:sz w:val="24"/>
          <w:szCs w:val="24"/>
        </w:rPr>
        <w:t>5</w:t>
      </w:r>
    </w:p>
    <w:p w14:paraId="359342B9" w14:textId="77777777" w:rsidR="003C3CE4" w:rsidRPr="00E22B87" w:rsidRDefault="003C3CE4" w:rsidP="003C3CE4">
      <w:pPr>
        <w:spacing w:line="360" w:lineRule="auto"/>
        <w:ind w:firstLineChars="100" w:firstLine="240"/>
        <w:rPr>
          <w:rFonts w:ascii="Arial" w:hAnsi="Arial" w:cs="Arial"/>
          <w:sz w:val="24"/>
          <w:szCs w:val="24"/>
        </w:rPr>
      </w:pPr>
      <w:r w:rsidRPr="00E22B87">
        <w:rPr>
          <w:rStyle w:val="af2"/>
          <w:rFonts w:ascii="Arial" w:hAnsi="Arial" w:cs="Arial"/>
          <w:sz w:val="24"/>
          <w:szCs w:val="24"/>
        </w:rPr>
        <w:t>Validation of correlation analysis using the GSE126848 dataset.</w:t>
      </w:r>
      <w:r w:rsidRPr="00E22B87">
        <w:rPr>
          <w:rFonts w:ascii="Arial" w:hAnsi="Arial" w:cs="Arial"/>
          <w:sz w:val="24"/>
          <w:szCs w:val="24"/>
        </w:rPr>
        <w:t xml:space="preserve"> (A) Expression levels of TMEM169, THBS1, ASIP, and BRCA1 were validated using the GSE126848 dataset and presented as box plots (</w:t>
      </w:r>
      <w:r w:rsidRPr="00E22B87">
        <w:rPr>
          <w:rStyle w:val="af3"/>
          <w:rFonts w:ascii="Arial" w:hAnsi="Arial" w:cs="Arial"/>
          <w:szCs w:val="24"/>
        </w:rPr>
        <w:t>p</w:t>
      </w:r>
      <w:r w:rsidRPr="00E22B87">
        <w:rPr>
          <w:rFonts w:ascii="Arial" w:hAnsi="Arial" w:cs="Arial"/>
          <w:sz w:val="24"/>
          <w:szCs w:val="24"/>
        </w:rPr>
        <w:t xml:space="preserve"> &lt; 0.05, **</w:t>
      </w:r>
      <w:r w:rsidRPr="00E22B87">
        <w:rPr>
          <w:rStyle w:val="af3"/>
          <w:rFonts w:ascii="Arial" w:hAnsi="Arial" w:cs="Arial"/>
          <w:szCs w:val="24"/>
        </w:rPr>
        <w:t>p</w:t>
      </w:r>
      <w:r w:rsidRPr="00E22B87">
        <w:rPr>
          <w:rFonts w:ascii="Arial" w:hAnsi="Arial" w:cs="Arial"/>
          <w:sz w:val="24"/>
          <w:szCs w:val="24"/>
        </w:rPr>
        <w:t xml:space="preserve"> &lt; 0.001, ns = not significant). (B) Heatmap showing the expression patterns of TMEM169, THBS1, ASIP, and BRCA1. (C) Decision curve analysis demonstrating that the nomogram provides clinical benefit for NAFLD patients.</w:t>
      </w:r>
    </w:p>
    <w:p w14:paraId="290D47AF" w14:textId="77777777" w:rsidR="00CF5744" w:rsidRPr="003C3CE4" w:rsidRDefault="00CF5744">
      <w:pPr>
        <w:rPr>
          <w:rFonts w:hint="eastAsia"/>
        </w:rPr>
      </w:pPr>
    </w:p>
    <w:sectPr w:rsidR="00CF5744" w:rsidRPr="003C3C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82E1B" w14:textId="77777777" w:rsidR="00DF270C" w:rsidRDefault="00DF270C" w:rsidP="003C3CE4">
      <w:pPr>
        <w:rPr>
          <w:rFonts w:hint="eastAsia"/>
        </w:rPr>
      </w:pPr>
      <w:r>
        <w:separator/>
      </w:r>
    </w:p>
  </w:endnote>
  <w:endnote w:type="continuationSeparator" w:id="0">
    <w:p w14:paraId="7E65FBBE" w14:textId="77777777" w:rsidR="00DF270C" w:rsidRDefault="00DF270C" w:rsidP="003C3CE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A866B" w14:textId="77777777" w:rsidR="00DF270C" w:rsidRDefault="00DF270C" w:rsidP="003C3CE4">
      <w:pPr>
        <w:rPr>
          <w:rFonts w:hint="eastAsia"/>
        </w:rPr>
      </w:pPr>
      <w:r>
        <w:separator/>
      </w:r>
    </w:p>
  </w:footnote>
  <w:footnote w:type="continuationSeparator" w:id="0">
    <w:p w14:paraId="52DEDCDE" w14:textId="77777777" w:rsidR="00DF270C" w:rsidRDefault="00DF270C" w:rsidP="003C3CE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24C"/>
    <w:rsid w:val="003C3CE4"/>
    <w:rsid w:val="0082424C"/>
    <w:rsid w:val="00A52F21"/>
    <w:rsid w:val="00CF5744"/>
    <w:rsid w:val="00DF2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04792EAE-03ED-4255-A3D1-5BAF695CC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3CE4"/>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82424C"/>
    <w:pPr>
      <w:keepNext/>
      <w:keepLines/>
      <w:spacing w:before="480" w:after="80" w:line="278" w:lineRule="auto"/>
      <w:jc w:val="left"/>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82424C"/>
    <w:pPr>
      <w:keepNext/>
      <w:keepLines/>
      <w:spacing w:before="160" w:after="80" w:line="278" w:lineRule="auto"/>
      <w:jc w:val="left"/>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82424C"/>
    <w:pPr>
      <w:keepNext/>
      <w:keepLines/>
      <w:spacing w:before="160" w:after="80" w:line="278" w:lineRule="auto"/>
      <w:jc w:val="left"/>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82424C"/>
    <w:pPr>
      <w:keepNext/>
      <w:keepLines/>
      <w:spacing w:before="80" w:after="40" w:line="278" w:lineRule="auto"/>
      <w:jc w:val="left"/>
      <w:outlineLvl w:val="3"/>
    </w:pPr>
    <w:rPr>
      <w:rFonts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82424C"/>
    <w:pPr>
      <w:keepNext/>
      <w:keepLines/>
      <w:spacing w:before="80" w:after="40" w:line="278" w:lineRule="auto"/>
      <w:jc w:val="left"/>
      <w:outlineLvl w:val="4"/>
    </w:pPr>
    <w:rPr>
      <w:rFonts w:cstheme="majorBidi"/>
      <w:color w:val="0F4761" w:themeColor="accent1" w:themeShade="BF"/>
      <w:sz w:val="24"/>
      <w:szCs w:val="24"/>
      <w14:ligatures w14:val="standardContextual"/>
    </w:rPr>
  </w:style>
  <w:style w:type="paragraph" w:styleId="6">
    <w:name w:val="heading 6"/>
    <w:basedOn w:val="a"/>
    <w:next w:val="a"/>
    <w:link w:val="60"/>
    <w:uiPriority w:val="9"/>
    <w:semiHidden/>
    <w:unhideWhenUsed/>
    <w:qFormat/>
    <w:rsid w:val="0082424C"/>
    <w:pPr>
      <w:keepNext/>
      <w:keepLines/>
      <w:spacing w:before="40" w:line="278" w:lineRule="auto"/>
      <w:jc w:val="left"/>
      <w:outlineLvl w:val="5"/>
    </w:pPr>
    <w:rPr>
      <w:rFonts w:cstheme="majorBidi"/>
      <w:b/>
      <w:bCs/>
      <w:color w:val="0F4761" w:themeColor="accent1" w:themeShade="BF"/>
      <w:sz w:val="22"/>
      <w:szCs w:val="24"/>
      <w14:ligatures w14:val="standardContextual"/>
    </w:rPr>
  </w:style>
  <w:style w:type="paragraph" w:styleId="7">
    <w:name w:val="heading 7"/>
    <w:basedOn w:val="a"/>
    <w:next w:val="a"/>
    <w:link w:val="70"/>
    <w:uiPriority w:val="9"/>
    <w:semiHidden/>
    <w:unhideWhenUsed/>
    <w:qFormat/>
    <w:rsid w:val="0082424C"/>
    <w:pPr>
      <w:keepNext/>
      <w:keepLines/>
      <w:spacing w:before="40" w:line="278" w:lineRule="auto"/>
      <w:jc w:val="left"/>
      <w:outlineLvl w:val="6"/>
    </w:pPr>
    <w:rPr>
      <w:rFonts w:cstheme="majorBidi"/>
      <w:b/>
      <w:bCs/>
      <w:color w:val="595959" w:themeColor="text1" w:themeTint="A6"/>
      <w:sz w:val="22"/>
      <w:szCs w:val="24"/>
      <w14:ligatures w14:val="standardContextual"/>
    </w:rPr>
  </w:style>
  <w:style w:type="paragraph" w:styleId="8">
    <w:name w:val="heading 8"/>
    <w:basedOn w:val="a"/>
    <w:next w:val="a"/>
    <w:link w:val="80"/>
    <w:uiPriority w:val="9"/>
    <w:semiHidden/>
    <w:unhideWhenUsed/>
    <w:qFormat/>
    <w:rsid w:val="0082424C"/>
    <w:pPr>
      <w:keepNext/>
      <w:keepLines/>
      <w:spacing w:line="278" w:lineRule="auto"/>
      <w:jc w:val="left"/>
      <w:outlineLvl w:val="7"/>
    </w:pPr>
    <w:rPr>
      <w:rFonts w:cstheme="majorBidi"/>
      <w:color w:val="595959" w:themeColor="text1" w:themeTint="A6"/>
      <w:sz w:val="22"/>
      <w:szCs w:val="24"/>
      <w14:ligatures w14:val="standardContextual"/>
    </w:rPr>
  </w:style>
  <w:style w:type="paragraph" w:styleId="9">
    <w:name w:val="heading 9"/>
    <w:basedOn w:val="a"/>
    <w:next w:val="a"/>
    <w:link w:val="90"/>
    <w:uiPriority w:val="9"/>
    <w:semiHidden/>
    <w:unhideWhenUsed/>
    <w:qFormat/>
    <w:rsid w:val="0082424C"/>
    <w:pPr>
      <w:keepNext/>
      <w:keepLines/>
      <w:spacing w:line="278" w:lineRule="auto"/>
      <w:jc w:val="left"/>
      <w:outlineLvl w:val="8"/>
    </w:pPr>
    <w:rPr>
      <w:rFonts w:eastAsiaTheme="majorEastAsia" w:cstheme="majorBidi"/>
      <w:color w:val="595959" w:themeColor="text1" w:themeTint="A6"/>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2424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2424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2424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2424C"/>
    <w:rPr>
      <w:rFonts w:cstheme="majorBidi"/>
      <w:color w:val="0F4761" w:themeColor="accent1" w:themeShade="BF"/>
      <w:sz w:val="28"/>
      <w:szCs w:val="28"/>
    </w:rPr>
  </w:style>
  <w:style w:type="character" w:customStyle="1" w:styleId="50">
    <w:name w:val="标题 5 字符"/>
    <w:basedOn w:val="a0"/>
    <w:link w:val="5"/>
    <w:uiPriority w:val="9"/>
    <w:semiHidden/>
    <w:rsid w:val="0082424C"/>
    <w:rPr>
      <w:rFonts w:cstheme="majorBidi"/>
      <w:color w:val="0F4761" w:themeColor="accent1" w:themeShade="BF"/>
      <w:sz w:val="24"/>
    </w:rPr>
  </w:style>
  <w:style w:type="character" w:customStyle="1" w:styleId="60">
    <w:name w:val="标题 6 字符"/>
    <w:basedOn w:val="a0"/>
    <w:link w:val="6"/>
    <w:uiPriority w:val="9"/>
    <w:semiHidden/>
    <w:rsid w:val="0082424C"/>
    <w:rPr>
      <w:rFonts w:cstheme="majorBidi"/>
      <w:b/>
      <w:bCs/>
      <w:color w:val="0F4761" w:themeColor="accent1" w:themeShade="BF"/>
    </w:rPr>
  </w:style>
  <w:style w:type="character" w:customStyle="1" w:styleId="70">
    <w:name w:val="标题 7 字符"/>
    <w:basedOn w:val="a0"/>
    <w:link w:val="7"/>
    <w:uiPriority w:val="9"/>
    <w:semiHidden/>
    <w:rsid w:val="0082424C"/>
    <w:rPr>
      <w:rFonts w:cstheme="majorBidi"/>
      <w:b/>
      <w:bCs/>
      <w:color w:val="595959" w:themeColor="text1" w:themeTint="A6"/>
    </w:rPr>
  </w:style>
  <w:style w:type="character" w:customStyle="1" w:styleId="80">
    <w:name w:val="标题 8 字符"/>
    <w:basedOn w:val="a0"/>
    <w:link w:val="8"/>
    <w:uiPriority w:val="9"/>
    <w:semiHidden/>
    <w:rsid w:val="0082424C"/>
    <w:rPr>
      <w:rFonts w:cstheme="majorBidi"/>
      <w:color w:val="595959" w:themeColor="text1" w:themeTint="A6"/>
    </w:rPr>
  </w:style>
  <w:style w:type="character" w:customStyle="1" w:styleId="90">
    <w:name w:val="标题 9 字符"/>
    <w:basedOn w:val="a0"/>
    <w:link w:val="9"/>
    <w:uiPriority w:val="9"/>
    <w:semiHidden/>
    <w:rsid w:val="0082424C"/>
    <w:rPr>
      <w:rFonts w:eastAsiaTheme="majorEastAsia" w:cstheme="majorBidi"/>
      <w:color w:val="595959" w:themeColor="text1" w:themeTint="A6"/>
    </w:rPr>
  </w:style>
  <w:style w:type="paragraph" w:styleId="a3">
    <w:name w:val="Title"/>
    <w:basedOn w:val="a"/>
    <w:next w:val="a"/>
    <w:link w:val="a4"/>
    <w:uiPriority w:val="10"/>
    <w:qFormat/>
    <w:rsid w:val="0082424C"/>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82424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2424C"/>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82424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2424C"/>
    <w:pPr>
      <w:spacing w:before="160" w:after="160" w:line="278" w:lineRule="auto"/>
      <w:jc w:val="center"/>
    </w:pPr>
    <w:rPr>
      <w:i/>
      <w:iCs/>
      <w:color w:val="404040" w:themeColor="text1" w:themeTint="BF"/>
      <w:sz w:val="22"/>
      <w:szCs w:val="24"/>
      <w14:ligatures w14:val="standardContextual"/>
    </w:rPr>
  </w:style>
  <w:style w:type="character" w:customStyle="1" w:styleId="a8">
    <w:name w:val="引用 字符"/>
    <w:basedOn w:val="a0"/>
    <w:link w:val="a7"/>
    <w:uiPriority w:val="29"/>
    <w:rsid w:val="0082424C"/>
    <w:rPr>
      <w:i/>
      <w:iCs/>
      <w:color w:val="404040" w:themeColor="text1" w:themeTint="BF"/>
    </w:rPr>
  </w:style>
  <w:style w:type="paragraph" w:styleId="a9">
    <w:name w:val="List Paragraph"/>
    <w:basedOn w:val="a"/>
    <w:uiPriority w:val="34"/>
    <w:qFormat/>
    <w:rsid w:val="0082424C"/>
    <w:pPr>
      <w:spacing w:after="160" w:line="278" w:lineRule="auto"/>
      <w:ind w:left="720"/>
      <w:contextualSpacing/>
      <w:jc w:val="left"/>
    </w:pPr>
    <w:rPr>
      <w:sz w:val="22"/>
      <w:szCs w:val="24"/>
      <w14:ligatures w14:val="standardContextual"/>
    </w:rPr>
  </w:style>
  <w:style w:type="character" w:styleId="aa">
    <w:name w:val="Intense Emphasis"/>
    <w:basedOn w:val="a0"/>
    <w:uiPriority w:val="21"/>
    <w:qFormat/>
    <w:rsid w:val="0082424C"/>
    <w:rPr>
      <w:i/>
      <w:iCs/>
      <w:color w:val="0F4761" w:themeColor="accent1" w:themeShade="BF"/>
    </w:rPr>
  </w:style>
  <w:style w:type="paragraph" w:styleId="ab">
    <w:name w:val="Intense Quote"/>
    <w:basedOn w:val="a"/>
    <w:next w:val="a"/>
    <w:link w:val="ac"/>
    <w:uiPriority w:val="30"/>
    <w:qFormat/>
    <w:rsid w:val="0082424C"/>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2"/>
      <w:szCs w:val="24"/>
      <w14:ligatures w14:val="standardContextual"/>
    </w:rPr>
  </w:style>
  <w:style w:type="character" w:customStyle="1" w:styleId="ac">
    <w:name w:val="明显引用 字符"/>
    <w:basedOn w:val="a0"/>
    <w:link w:val="ab"/>
    <w:uiPriority w:val="30"/>
    <w:rsid w:val="0082424C"/>
    <w:rPr>
      <w:i/>
      <w:iCs/>
      <w:color w:val="0F4761" w:themeColor="accent1" w:themeShade="BF"/>
    </w:rPr>
  </w:style>
  <w:style w:type="character" w:styleId="ad">
    <w:name w:val="Intense Reference"/>
    <w:basedOn w:val="a0"/>
    <w:uiPriority w:val="32"/>
    <w:qFormat/>
    <w:rsid w:val="0082424C"/>
    <w:rPr>
      <w:b/>
      <w:bCs/>
      <w:smallCaps/>
      <w:color w:val="0F4761" w:themeColor="accent1" w:themeShade="BF"/>
      <w:spacing w:val="5"/>
    </w:rPr>
  </w:style>
  <w:style w:type="paragraph" w:styleId="ae">
    <w:name w:val="header"/>
    <w:basedOn w:val="a"/>
    <w:link w:val="af"/>
    <w:uiPriority w:val="99"/>
    <w:unhideWhenUsed/>
    <w:rsid w:val="003C3CE4"/>
    <w:pPr>
      <w:tabs>
        <w:tab w:val="center" w:pos="4153"/>
        <w:tab w:val="right" w:pos="8306"/>
      </w:tabs>
      <w:snapToGrid w:val="0"/>
      <w:spacing w:after="160"/>
      <w:jc w:val="center"/>
    </w:pPr>
    <w:rPr>
      <w:sz w:val="18"/>
      <w:szCs w:val="18"/>
      <w14:ligatures w14:val="standardContextual"/>
    </w:rPr>
  </w:style>
  <w:style w:type="character" w:customStyle="1" w:styleId="af">
    <w:name w:val="页眉 字符"/>
    <w:basedOn w:val="a0"/>
    <w:link w:val="ae"/>
    <w:uiPriority w:val="99"/>
    <w:rsid w:val="003C3CE4"/>
    <w:rPr>
      <w:sz w:val="18"/>
      <w:szCs w:val="18"/>
    </w:rPr>
  </w:style>
  <w:style w:type="paragraph" w:styleId="af0">
    <w:name w:val="footer"/>
    <w:basedOn w:val="a"/>
    <w:link w:val="af1"/>
    <w:uiPriority w:val="99"/>
    <w:unhideWhenUsed/>
    <w:rsid w:val="003C3CE4"/>
    <w:pPr>
      <w:tabs>
        <w:tab w:val="center" w:pos="4153"/>
        <w:tab w:val="right" w:pos="8306"/>
      </w:tabs>
      <w:snapToGrid w:val="0"/>
      <w:spacing w:after="160"/>
      <w:jc w:val="left"/>
    </w:pPr>
    <w:rPr>
      <w:sz w:val="18"/>
      <w:szCs w:val="18"/>
      <w14:ligatures w14:val="standardContextual"/>
    </w:rPr>
  </w:style>
  <w:style w:type="character" w:customStyle="1" w:styleId="af1">
    <w:name w:val="页脚 字符"/>
    <w:basedOn w:val="a0"/>
    <w:link w:val="af0"/>
    <w:uiPriority w:val="99"/>
    <w:rsid w:val="003C3CE4"/>
    <w:rPr>
      <w:sz w:val="18"/>
      <w:szCs w:val="18"/>
    </w:rPr>
  </w:style>
  <w:style w:type="character" w:styleId="af2">
    <w:name w:val="Strong"/>
    <w:basedOn w:val="a0"/>
    <w:uiPriority w:val="22"/>
    <w:qFormat/>
    <w:rsid w:val="003C3CE4"/>
    <w:rPr>
      <w:b/>
      <w:bCs/>
    </w:rPr>
  </w:style>
  <w:style w:type="character" w:styleId="af3">
    <w:name w:val="Emphasis"/>
    <w:basedOn w:val="a0"/>
    <w:uiPriority w:val="20"/>
    <w:qFormat/>
    <w:rsid w:val="003C3C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1921</Characters>
  <Application>Microsoft Office Word</Application>
  <DocSecurity>0</DocSecurity>
  <Lines>16</Lines>
  <Paragraphs>4</Paragraphs>
  <ScaleCrop>false</ScaleCrop>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yukang que</dc:creator>
  <cp:keywords/>
  <dc:description/>
  <cp:lastModifiedBy>yukang que</cp:lastModifiedBy>
  <cp:revision>2</cp:revision>
  <dcterms:created xsi:type="dcterms:W3CDTF">2025-04-09T20:34:00Z</dcterms:created>
  <dcterms:modified xsi:type="dcterms:W3CDTF">2025-04-09T20:34:00Z</dcterms:modified>
</cp:coreProperties>
</file>